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0D4" w:rsidRPr="007810D4" w:rsidRDefault="007810D4" w:rsidP="007810D4">
      <w:pPr>
        <w:spacing w:after="0" w:line="240" w:lineRule="auto"/>
        <w:jc w:val="center"/>
        <w:rPr>
          <w:b/>
          <w:sz w:val="32"/>
        </w:rPr>
      </w:pPr>
      <w:bookmarkStart w:id="0" w:name="_GoBack"/>
      <w:bookmarkEnd w:id="0"/>
      <w:r w:rsidRPr="007810D4">
        <w:rPr>
          <w:b/>
          <w:sz w:val="32"/>
        </w:rPr>
        <w:t>Sample Pacing/Sequence Guide</w:t>
      </w:r>
    </w:p>
    <w:p w:rsidR="007810D4" w:rsidRPr="007810D4" w:rsidRDefault="007810D4" w:rsidP="007810D4">
      <w:pPr>
        <w:spacing w:after="0" w:line="240" w:lineRule="auto"/>
        <w:jc w:val="center"/>
        <w:rPr>
          <w:b/>
          <w:sz w:val="32"/>
        </w:rPr>
      </w:pPr>
      <w:r w:rsidRPr="007810D4">
        <w:rPr>
          <w:b/>
          <w:sz w:val="32"/>
        </w:rPr>
        <w:t>Kindergarten, 1</w:t>
      </w:r>
      <w:r w:rsidRPr="007810D4">
        <w:rPr>
          <w:b/>
          <w:sz w:val="32"/>
          <w:vertAlign w:val="superscript"/>
        </w:rPr>
        <w:t>st</w:t>
      </w:r>
      <w:r w:rsidRPr="007810D4">
        <w:rPr>
          <w:b/>
          <w:sz w:val="32"/>
        </w:rPr>
        <w:t xml:space="preserve"> and 2</w:t>
      </w:r>
      <w:r w:rsidRPr="007810D4">
        <w:rPr>
          <w:b/>
          <w:sz w:val="32"/>
          <w:vertAlign w:val="superscript"/>
        </w:rPr>
        <w:t>nd</w:t>
      </w:r>
      <w:r w:rsidRPr="007810D4">
        <w:rPr>
          <w:b/>
          <w:sz w:val="32"/>
        </w:rPr>
        <w:t xml:space="preserve"> Grade Math </w:t>
      </w:r>
      <w:proofErr w:type="gramStart"/>
      <w:r w:rsidRPr="007810D4">
        <w:rPr>
          <w:b/>
          <w:sz w:val="32"/>
        </w:rPr>
        <w:t>PASS</w:t>
      </w:r>
      <w:proofErr w:type="gramEnd"/>
      <w:r w:rsidRPr="007810D4">
        <w:rPr>
          <w:b/>
          <w:sz w:val="32"/>
        </w:rPr>
        <w:t xml:space="preserve"> Objectives</w:t>
      </w:r>
    </w:p>
    <w:p w:rsidR="007810D4" w:rsidRDefault="007810D4"/>
    <w:p w:rsidR="0013653E" w:rsidRDefault="0013653E">
      <w:r>
        <w:t>This chart is intended as a starting point for a more specific pacing guide aligned with your district’s school calendar.  We recognize that not all districts operate on a 9 month schedule from September to May.  This table provides guidance as to the general amount of time to be spent on each strand.  It was created to aid in the vertical alignment and progression leading to the 3</w:t>
      </w:r>
      <w:r w:rsidRPr="0013653E">
        <w:rPr>
          <w:vertAlign w:val="superscript"/>
        </w:rPr>
        <w:t>rd</w:t>
      </w:r>
      <w:r>
        <w:t xml:space="preserve"> grade Math OCCT using the 3</w:t>
      </w:r>
      <w:r w:rsidRPr="0013653E">
        <w:rPr>
          <w:vertAlign w:val="superscript"/>
        </w:rPr>
        <w:t>rd</w:t>
      </w:r>
      <w:r>
        <w:t xml:space="preserve"> Grade Math OCCT blueprints as the reference point.</w:t>
      </w:r>
    </w:p>
    <w:tbl>
      <w:tblPr>
        <w:tblStyle w:val="TableGrid"/>
        <w:tblW w:w="14922" w:type="dxa"/>
        <w:tblLayout w:type="fixed"/>
        <w:tblLook w:val="04A0" w:firstRow="1" w:lastRow="0" w:firstColumn="1" w:lastColumn="0" w:noHBand="0" w:noVBand="1"/>
      </w:tblPr>
      <w:tblGrid>
        <w:gridCol w:w="4032"/>
        <w:gridCol w:w="1296"/>
        <w:gridCol w:w="1124"/>
        <w:gridCol w:w="1210"/>
        <w:gridCol w:w="1210"/>
        <w:gridCol w:w="1210"/>
        <w:gridCol w:w="1210"/>
        <w:gridCol w:w="1210"/>
        <w:gridCol w:w="1210"/>
        <w:gridCol w:w="1210"/>
      </w:tblGrid>
      <w:tr w:rsidR="00027C7E" w:rsidTr="00C00C86">
        <w:tc>
          <w:tcPr>
            <w:tcW w:w="4032" w:type="dxa"/>
            <w:tcBorders>
              <w:bottom w:val="single" w:sz="4" w:space="0" w:color="auto"/>
            </w:tcBorders>
          </w:tcPr>
          <w:p w:rsidR="00CE4632" w:rsidRDefault="00CE4632"/>
        </w:tc>
        <w:tc>
          <w:tcPr>
            <w:tcW w:w="1296" w:type="dxa"/>
            <w:tcBorders>
              <w:bottom w:val="single" w:sz="4" w:space="0" w:color="auto"/>
            </w:tcBorders>
          </w:tcPr>
          <w:p w:rsidR="00CE4632" w:rsidRPr="00C00C86" w:rsidRDefault="00CE4632" w:rsidP="00C00C86">
            <w:pPr>
              <w:jc w:val="center"/>
              <w:rPr>
                <w:b/>
              </w:rPr>
            </w:pPr>
            <w:r w:rsidRPr="00C00C86">
              <w:rPr>
                <w:b/>
              </w:rPr>
              <w:t>September</w:t>
            </w:r>
          </w:p>
        </w:tc>
        <w:tc>
          <w:tcPr>
            <w:tcW w:w="1124" w:type="dxa"/>
            <w:tcBorders>
              <w:bottom w:val="single" w:sz="4" w:space="0" w:color="auto"/>
            </w:tcBorders>
          </w:tcPr>
          <w:p w:rsidR="00CE4632" w:rsidRPr="00C00C86" w:rsidRDefault="00CE4632" w:rsidP="00C00C86">
            <w:pPr>
              <w:jc w:val="center"/>
              <w:rPr>
                <w:b/>
              </w:rPr>
            </w:pPr>
            <w:r w:rsidRPr="00C00C86">
              <w:rPr>
                <w:b/>
              </w:rPr>
              <w:t>October</w:t>
            </w:r>
          </w:p>
        </w:tc>
        <w:tc>
          <w:tcPr>
            <w:tcW w:w="1210" w:type="dxa"/>
            <w:tcBorders>
              <w:bottom w:val="single" w:sz="4" w:space="0" w:color="auto"/>
            </w:tcBorders>
          </w:tcPr>
          <w:p w:rsidR="00CE4632" w:rsidRPr="00C00C86" w:rsidRDefault="00CE4632" w:rsidP="00C00C86">
            <w:pPr>
              <w:jc w:val="center"/>
              <w:rPr>
                <w:b/>
              </w:rPr>
            </w:pPr>
            <w:r w:rsidRPr="00C00C86">
              <w:rPr>
                <w:b/>
              </w:rPr>
              <w:t>November</w:t>
            </w:r>
          </w:p>
        </w:tc>
        <w:tc>
          <w:tcPr>
            <w:tcW w:w="1210" w:type="dxa"/>
            <w:tcBorders>
              <w:bottom w:val="single" w:sz="4" w:space="0" w:color="auto"/>
            </w:tcBorders>
          </w:tcPr>
          <w:p w:rsidR="00CE4632" w:rsidRPr="00C00C86" w:rsidRDefault="00CE4632" w:rsidP="00C00C86">
            <w:pPr>
              <w:jc w:val="center"/>
              <w:rPr>
                <w:b/>
              </w:rPr>
            </w:pPr>
            <w:r w:rsidRPr="00C00C86">
              <w:rPr>
                <w:b/>
              </w:rPr>
              <w:t>December</w:t>
            </w:r>
          </w:p>
        </w:tc>
        <w:tc>
          <w:tcPr>
            <w:tcW w:w="1210" w:type="dxa"/>
            <w:tcBorders>
              <w:bottom w:val="single" w:sz="4" w:space="0" w:color="auto"/>
            </w:tcBorders>
          </w:tcPr>
          <w:p w:rsidR="00CE4632" w:rsidRPr="00C00C86" w:rsidRDefault="00CE4632" w:rsidP="00C00C86">
            <w:pPr>
              <w:jc w:val="center"/>
              <w:rPr>
                <w:b/>
              </w:rPr>
            </w:pPr>
            <w:r w:rsidRPr="00C00C86">
              <w:rPr>
                <w:b/>
              </w:rPr>
              <w:t>January</w:t>
            </w:r>
          </w:p>
        </w:tc>
        <w:tc>
          <w:tcPr>
            <w:tcW w:w="1210" w:type="dxa"/>
            <w:tcBorders>
              <w:bottom w:val="single" w:sz="4" w:space="0" w:color="auto"/>
            </w:tcBorders>
          </w:tcPr>
          <w:p w:rsidR="00CE4632" w:rsidRPr="00C00C86" w:rsidRDefault="00CE4632" w:rsidP="00C00C86">
            <w:pPr>
              <w:jc w:val="center"/>
              <w:rPr>
                <w:b/>
              </w:rPr>
            </w:pPr>
            <w:r w:rsidRPr="00C00C86">
              <w:rPr>
                <w:b/>
              </w:rPr>
              <w:t>February</w:t>
            </w:r>
          </w:p>
        </w:tc>
        <w:tc>
          <w:tcPr>
            <w:tcW w:w="1210" w:type="dxa"/>
            <w:tcBorders>
              <w:bottom w:val="single" w:sz="4" w:space="0" w:color="auto"/>
            </w:tcBorders>
          </w:tcPr>
          <w:p w:rsidR="00CE4632" w:rsidRPr="00C00C86" w:rsidRDefault="00CE4632" w:rsidP="00C00C86">
            <w:pPr>
              <w:jc w:val="center"/>
              <w:rPr>
                <w:b/>
              </w:rPr>
            </w:pPr>
            <w:r w:rsidRPr="00C00C86">
              <w:rPr>
                <w:b/>
              </w:rPr>
              <w:t>March</w:t>
            </w:r>
          </w:p>
        </w:tc>
        <w:tc>
          <w:tcPr>
            <w:tcW w:w="1210" w:type="dxa"/>
            <w:tcBorders>
              <w:bottom w:val="single" w:sz="4" w:space="0" w:color="auto"/>
            </w:tcBorders>
          </w:tcPr>
          <w:p w:rsidR="00CE4632" w:rsidRPr="00C00C86" w:rsidRDefault="00CE4632" w:rsidP="00C00C86">
            <w:pPr>
              <w:jc w:val="center"/>
              <w:rPr>
                <w:b/>
              </w:rPr>
            </w:pPr>
            <w:r w:rsidRPr="00C00C86">
              <w:rPr>
                <w:b/>
              </w:rPr>
              <w:t>April</w:t>
            </w:r>
          </w:p>
        </w:tc>
        <w:tc>
          <w:tcPr>
            <w:tcW w:w="1210" w:type="dxa"/>
            <w:tcBorders>
              <w:bottom w:val="single" w:sz="4" w:space="0" w:color="auto"/>
            </w:tcBorders>
          </w:tcPr>
          <w:p w:rsidR="00CE4632" w:rsidRPr="00C00C86" w:rsidRDefault="00CE4632" w:rsidP="00C00C86">
            <w:pPr>
              <w:jc w:val="center"/>
              <w:rPr>
                <w:b/>
              </w:rPr>
            </w:pPr>
            <w:r w:rsidRPr="00C00C86">
              <w:rPr>
                <w:b/>
              </w:rPr>
              <w:t>May</w:t>
            </w:r>
          </w:p>
        </w:tc>
      </w:tr>
      <w:tr w:rsidR="00027C7E" w:rsidTr="00DA34FF">
        <w:tc>
          <w:tcPr>
            <w:tcW w:w="4032" w:type="dxa"/>
            <w:shd w:val="clear" w:color="auto" w:fill="CCC0D9" w:themeFill="accent4" w:themeFillTint="66"/>
          </w:tcPr>
          <w:p w:rsidR="00CE4632" w:rsidRPr="001359B5" w:rsidRDefault="00027C7E">
            <w:pPr>
              <w:rPr>
                <w:b/>
              </w:rPr>
            </w:pPr>
            <w:r>
              <w:rPr>
                <w:b/>
              </w:rPr>
              <w:t>Kindergarten</w:t>
            </w:r>
          </w:p>
        </w:tc>
        <w:tc>
          <w:tcPr>
            <w:tcW w:w="1296" w:type="dxa"/>
            <w:shd w:val="clear" w:color="auto" w:fill="CCC0D9" w:themeFill="accent4" w:themeFillTint="66"/>
          </w:tcPr>
          <w:p w:rsidR="00CE4632" w:rsidRDefault="00CE4632" w:rsidP="003D5A4C"/>
        </w:tc>
        <w:tc>
          <w:tcPr>
            <w:tcW w:w="1124" w:type="dxa"/>
            <w:tcBorders>
              <w:bottom w:val="single" w:sz="4" w:space="0" w:color="auto"/>
            </w:tcBorders>
            <w:shd w:val="clear" w:color="auto" w:fill="CCC0D9" w:themeFill="accent4" w:themeFillTint="66"/>
          </w:tcPr>
          <w:p w:rsidR="00CE4632" w:rsidRDefault="00CE4632" w:rsidP="003D5A4C"/>
        </w:tc>
        <w:tc>
          <w:tcPr>
            <w:tcW w:w="1210" w:type="dxa"/>
            <w:tcBorders>
              <w:bottom w:val="single" w:sz="4" w:space="0" w:color="auto"/>
            </w:tcBorders>
            <w:shd w:val="clear" w:color="auto" w:fill="CCC0D9" w:themeFill="accent4" w:themeFillTint="66"/>
          </w:tcPr>
          <w:p w:rsidR="00CE4632" w:rsidRDefault="00CE4632" w:rsidP="003D5A4C"/>
        </w:tc>
        <w:tc>
          <w:tcPr>
            <w:tcW w:w="1210" w:type="dxa"/>
            <w:tcBorders>
              <w:bottom w:val="single" w:sz="4" w:space="0" w:color="auto"/>
            </w:tcBorders>
            <w:shd w:val="clear" w:color="auto" w:fill="CCC0D9" w:themeFill="accent4" w:themeFillTint="66"/>
          </w:tcPr>
          <w:p w:rsidR="00CE4632" w:rsidRDefault="00CE4632" w:rsidP="003D5A4C"/>
        </w:tc>
        <w:tc>
          <w:tcPr>
            <w:tcW w:w="1210" w:type="dxa"/>
            <w:tcBorders>
              <w:bottom w:val="single" w:sz="4" w:space="0" w:color="auto"/>
            </w:tcBorders>
            <w:shd w:val="clear" w:color="auto" w:fill="CCC0D9" w:themeFill="accent4" w:themeFillTint="66"/>
          </w:tcPr>
          <w:p w:rsidR="00CE4632" w:rsidRDefault="00CE4632" w:rsidP="003D5A4C"/>
        </w:tc>
        <w:tc>
          <w:tcPr>
            <w:tcW w:w="1210" w:type="dxa"/>
            <w:tcBorders>
              <w:bottom w:val="single" w:sz="4" w:space="0" w:color="auto"/>
            </w:tcBorders>
            <w:shd w:val="clear" w:color="auto" w:fill="CCC0D9" w:themeFill="accent4" w:themeFillTint="66"/>
          </w:tcPr>
          <w:p w:rsidR="00CE4632" w:rsidRDefault="00CE4632" w:rsidP="003D5A4C"/>
        </w:tc>
        <w:tc>
          <w:tcPr>
            <w:tcW w:w="1210" w:type="dxa"/>
            <w:tcBorders>
              <w:bottom w:val="single" w:sz="4" w:space="0" w:color="auto"/>
            </w:tcBorders>
            <w:shd w:val="clear" w:color="auto" w:fill="CCC0D9" w:themeFill="accent4" w:themeFillTint="66"/>
          </w:tcPr>
          <w:p w:rsidR="00CE4632" w:rsidRDefault="00CE4632" w:rsidP="003D5A4C"/>
        </w:tc>
        <w:tc>
          <w:tcPr>
            <w:tcW w:w="1210" w:type="dxa"/>
            <w:tcBorders>
              <w:bottom w:val="single" w:sz="4" w:space="0" w:color="auto"/>
            </w:tcBorders>
            <w:shd w:val="clear" w:color="auto" w:fill="CCC0D9" w:themeFill="accent4" w:themeFillTint="66"/>
          </w:tcPr>
          <w:p w:rsidR="00CE4632" w:rsidRDefault="00CE4632" w:rsidP="003D5A4C"/>
        </w:tc>
        <w:tc>
          <w:tcPr>
            <w:tcW w:w="1210" w:type="dxa"/>
            <w:tcBorders>
              <w:bottom w:val="single" w:sz="4" w:space="0" w:color="auto"/>
            </w:tcBorders>
            <w:shd w:val="clear" w:color="auto" w:fill="CCC0D9" w:themeFill="accent4" w:themeFillTint="66"/>
          </w:tcPr>
          <w:p w:rsidR="00CE4632" w:rsidRDefault="00CE4632"/>
        </w:tc>
      </w:tr>
      <w:tr w:rsidR="00C00C86" w:rsidTr="00DA34FF">
        <w:tc>
          <w:tcPr>
            <w:tcW w:w="4032" w:type="dxa"/>
          </w:tcPr>
          <w:p w:rsidR="001359B5" w:rsidRDefault="001359B5">
            <w:r>
              <w:t>Standard 1</w:t>
            </w:r>
            <w:r w:rsidR="00027C7E">
              <w:t>: Algebraic Reasoning</w:t>
            </w:r>
          </w:p>
        </w:tc>
        <w:tc>
          <w:tcPr>
            <w:tcW w:w="1296" w:type="dxa"/>
            <w:tcBorders>
              <w:bottom w:val="single" w:sz="4" w:space="0" w:color="auto"/>
            </w:tcBorders>
          </w:tcPr>
          <w:p w:rsidR="001359B5" w:rsidRDefault="001359B5" w:rsidP="003D5A4C"/>
        </w:tc>
        <w:tc>
          <w:tcPr>
            <w:tcW w:w="1124" w:type="dxa"/>
            <w:tcBorders>
              <w:bottom w:val="single" w:sz="4" w:space="0" w:color="auto"/>
            </w:tcBorders>
            <w:shd w:val="pct70" w:color="auto" w:fill="auto"/>
          </w:tcPr>
          <w:p w:rsidR="001359B5" w:rsidRDefault="001359B5" w:rsidP="003D5A4C"/>
        </w:tc>
        <w:tc>
          <w:tcPr>
            <w:tcW w:w="1210" w:type="dxa"/>
            <w:tcBorders>
              <w:bottom w:val="single" w:sz="4" w:space="0" w:color="auto"/>
            </w:tcBorders>
            <w:shd w:val="pct70" w:color="auto" w:fill="auto"/>
          </w:tcPr>
          <w:p w:rsidR="001359B5" w:rsidRDefault="001359B5" w:rsidP="003D5A4C"/>
        </w:tc>
        <w:tc>
          <w:tcPr>
            <w:tcW w:w="1210" w:type="dxa"/>
            <w:tcBorders>
              <w:bottom w:val="single" w:sz="4" w:space="0" w:color="auto"/>
            </w:tcBorders>
            <w:shd w:val="pct70" w:color="auto" w:fill="auto"/>
          </w:tcPr>
          <w:p w:rsidR="001359B5" w:rsidRDefault="001359B5" w:rsidP="003D5A4C"/>
        </w:tc>
        <w:tc>
          <w:tcPr>
            <w:tcW w:w="1210" w:type="dxa"/>
            <w:shd w:val="thinReverseDiagStripe" w:color="auto" w:fill="auto"/>
          </w:tcPr>
          <w:p w:rsidR="001359B5" w:rsidRDefault="001359B5" w:rsidP="003D5A4C"/>
        </w:tc>
        <w:tc>
          <w:tcPr>
            <w:tcW w:w="1210" w:type="dxa"/>
            <w:shd w:val="thinReverseDiagStripe" w:color="auto" w:fill="auto"/>
          </w:tcPr>
          <w:p w:rsidR="001359B5" w:rsidRDefault="001359B5" w:rsidP="003D5A4C"/>
        </w:tc>
        <w:tc>
          <w:tcPr>
            <w:tcW w:w="1210" w:type="dxa"/>
            <w:shd w:val="thinReverseDiagStripe" w:color="auto" w:fill="auto"/>
          </w:tcPr>
          <w:p w:rsidR="001359B5" w:rsidRDefault="001359B5" w:rsidP="003D5A4C"/>
        </w:tc>
        <w:tc>
          <w:tcPr>
            <w:tcW w:w="1210" w:type="dxa"/>
            <w:shd w:val="thinReverseDiagStripe" w:color="auto" w:fill="auto"/>
          </w:tcPr>
          <w:p w:rsidR="001359B5" w:rsidRDefault="001359B5" w:rsidP="003D5A4C"/>
        </w:tc>
        <w:tc>
          <w:tcPr>
            <w:tcW w:w="1210" w:type="dxa"/>
            <w:shd w:val="thinReverseDiagStripe" w:color="auto" w:fill="auto"/>
          </w:tcPr>
          <w:p w:rsidR="001359B5" w:rsidRDefault="001359B5"/>
        </w:tc>
      </w:tr>
      <w:tr w:rsidR="00C00C86" w:rsidTr="00DA34FF">
        <w:tc>
          <w:tcPr>
            <w:tcW w:w="4032" w:type="dxa"/>
          </w:tcPr>
          <w:p w:rsidR="001359B5" w:rsidRDefault="001359B5">
            <w:r>
              <w:t>Standard 2</w:t>
            </w:r>
            <w:r w:rsidR="00027C7E">
              <w:t>: Number Sense and Operations</w:t>
            </w:r>
          </w:p>
        </w:tc>
        <w:tc>
          <w:tcPr>
            <w:tcW w:w="1296" w:type="dxa"/>
            <w:tcBorders>
              <w:bottom w:val="single" w:sz="4" w:space="0" w:color="auto"/>
            </w:tcBorders>
            <w:shd w:val="pct70" w:color="auto" w:fill="auto"/>
          </w:tcPr>
          <w:p w:rsidR="001359B5" w:rsidRDefault="001359B5" w:rsidP="003D5A4C"/>
        </w:tc>
        <w:tc>
          <w:tcPr>
            <w:tcW w:w="1124" w:type="dxa"/>
            <w:tcBorders>
              <w:bottom w:val="single" w:sz="4" w:space="0" w:color="auto"/>
            </w:tcBorders>
            <w:shd w:val="pct70" w:color="auto" w:fill="auto"/>
          </w:tcPr>
          <w:p w:rsidR="001359B5" w:rsidRDefault="001359B5" w:rsidP="003D5A4C"/>
        </w:tc>
        <w:tc>
          <w:tcPr>
            <w:tcW w:w="1210" w:type="dxa"/>
            <w:tcBorders>
              <w:bottom w:val="single" w:sz="4" w:space="0" w:color="auto"/>
            </w:tcBorders>
            <w:shd w:val="pct70" w:color="auto" w:fill="auto"/>
          </w:tcPr>
          <w:p w:rsidR="001359B5" w:rsidRDefault="001359B5" w:rsidP="003D5A4C"/>
        </w:tc>
        <w:tc>
          <w:tcPr>
            <w:tcW w:w="1210" w:type="dxa"/>
            <w:tcBorders>
              <w:bottom w:val="single" w:sz="4" w:space="0" w:color="auto"/>
            </w:tcBorders>
            <w:shd w:val="pct70" w:color="auto" w:fill="auto"/>
          </w:tcPr>
          <w:p w:rsidR="001359B5" w:rsidRDefault="001359B5" w:rsidP="003D5A4C"/>
        </w:tc>
        <w:tc>
          <w:tcPr>
            <w:tcW w:w="1210" w:type="dxa"/>
            <w:tcBorders>
              <w:bottom w:val="single" w:sz="4" w:space="0" w:color="auto"/>
            </w:tcBorders>
            <w:shd w:val="thinReverseDiagStripe" w:color="auto" w:fill="auto"/>
          </w:tcPr>
          <w:p w:rsidR="001359B5" w:rsidRDefault="001359B5" w:rsidP="003D5A4C"/>
        </w:tc>
        <w:tc>
          <w:tcPr>
            <w:tcW w:w="1210" w:type="dxa"/>
            <w:tcBorders>
              <w:bottom w:val="single" w:sz="4" w:space="0" w:color="auto"/>
            </w:tcBorders>
            <w:shd w:val="thinReverseDiagStripe" w:color="auto" w:fill="auto"/>
          </w:tcPr>
          <w:p w:rsidR="001359B5" w:rsidRDefault="001359B5" w:rsidP="003D5A4C"/>
        </w:tc>
        <w:tc>
          <w:tcPr>
            <w:tcW w:w="1210" w:type="dxa"/>
            <w:tcBorders>
              <w:bottom w:val="single" w:sz="4" w:space="0" w:color="auto"/>
            </w:tcBorders>
            <w:shd w:val="thinReverseDiagStripe" w:color="auto" w:fill="auto"/>
          </w:tcPr>
          <w:p w:rsidR="001359B5" w:rsidRDefault="001359B5" w:rsidP="003D5A4C"/>
        </w:tc>
        <w:tc>
          <w:tcPr>
            <w:tcW w:w="1210" w:type="dxa"/>
            <w:tcBorders>
              <w:bottom w:val="single" w:sz="4" w:space="0" w:color="auto"/>
            </w:tcBorders>
            <w:shd w:val="thinReverseDiagStripe" w:color="auto" w:fill="auto"/>
          </w:tcPr>
          <w:p w:rsidR="001359B5" w:rsidRDefault="001359B5" w:rsidP="003D5A4C"/>
        </w:tc>
        <w:tc>
          <w:tcPr>
            <w:tcW w:w="1210" w:type="dxa"/>
            <w:tcBorders>
              <w:bottom w:val="single" w:sz="4" w:space="0" w:color="auto"/>
            </w:tcBorders>
            <w:shd w:val="thinReverseDiagStripe" w:color="auto" w:fill="auto"/>
          </w:tcPr>
          <w:p w:rsidR="001359B5" w:rsidRDefault="001359B5"/>
        </w:tc>
      </w:tr>
      <w:tr w:rsidR="00C00C86" w:rsidTr="00DA34FF">
        <w:tc>
          <w:tcPr>
            <w:tcW w:w="4032" w:type="dxa"/>
          </w:tcPr>
          <w:p w:rsidR="001359B5" w:rsidRDefault="001359B5">
            <w:r>
              <w:t>Standard 3</w:t>
            </w:r>
            <w:r w:rsidR="00027C7E">
              <w:t>: Geometry</w:t>
            </w:r>
          </w:p>
        </w:tc>
        <w:tc>
          <w:tcPr>
            <w:tcW w:w="1296" w:type="dxa"/>
            <w:shd w:val="thinReverseDiagStripe" w:color="auto" w:fill="auto"/>
          </w:tcPr>
          <w:p w:rsidR="001359B5" w:rsidRDefault="001359B5" w:rsidP="003D5A4C"/>
        </w:tc>
        <w:tc>
          <w:tcPr>
            <w:tcW w:w="1124" w:type="dxa"/>
            <w:shd w:val="thinReverseDiagStripe" w:color="auto" w:fill="auto"/>
          </w:tcPr>
          <w:p w:rsidR="001359B5" w:rsidRDefault="001359B5" w:rsidP="003D5A4C"/>
        </w:tc>
        <w:tc>
          <w:tcPr>
            <w:tcW w:w="1210" w:type="dxa"/>
            <w:shd w:val="thinReverseDiagStripe" w:color="auto" w:fill="auto"/>
          </w:tcPr>
          <w:p w:rsidR="001359B5" w:rsidRDefault="001359B5" w:rsidP="003D5A4C"/>
        </w:tc>
        <w:tc>
          <w:tcPr>
            <w:tcW w:w="1210" w:type="dxa"/>
            <w:shd w:val="thinReverseDiagStripe" w:color="auto" w:fill="auto"/>
          </w:tcPr>
          <w:p w:rsidR="001359B5" w:rsidRDefault="001359B5" w:rsidP="003D5A4C"/>
        </w:tc>
        <w:tc>
          <w:tcPr>
            <w:tcW w:w="1210" w:type="dxa"/>
            <w:tcBorders>
              <w:bottom w:val="single" w:sz="4" w:space="0" w:color="auto"/>
            </w:tcBorders>
            <w:shd w:val="pct70" w:color="auto" w:fill="auto"/>
          </w:tcPr>
          <w:p w:rsidR="001359B5" w:rsidRDefault="001359B5" w:rsidP="003D5A4C"/>
        </w:tc>
        <w:tc>
          <w:tcPr>
            <w:tcW w:w="1210" w:type="dxa"/>
            <w:tcBorders>
              <w:bottom w:val="single" w:sz="4" w:space="0" w:color="auto"/>
            </w:tcBorders>
            <w:shd w:val="pct70" w:color="auto" w:fill="auto"/>
          </w:tcPr>
          <w:p w:rsidR="001359B5" w:rsidRDefault="001359B5" w:rsidP="003D5A4C"/>
        </w:tc>
        <w:tc>
          <w:tcPr>
            <w:tcW w:w="1210" w:type="dxa"/>
            <w:tcBorders>
              <w:bottom w:val="single" w:sz="4" w:space="0" w:color="auto"/>
            </w:tcBorders>
            <w:shd w:val="thinReverseDiagStripe" w:color="auto" w:fill="auto"/>
          </w:tcPr>
          <w:p w:rsidR="001359B5" w:rsidRDefault="001359B5" w:rsidP="003D5A4C"/>
        </w:tc>
        <w:tc>
          <w:tcPr>
            <w:tcW w:w="1210" w:type="dxa"/>
            <w:tcBorders>
              <w:bottom w:val="single" w:sz="4" w:space="0" w:color="auto"/>
            </w:tcBorders>
            <w:shd w:val="thinReverseDiagStripe" w:color="auto" w:fill="auto"/>
          </w:tcPr>
          <w:p w:rsidR="001359B5" w:rsidRDefault="001359B5" w:rsidP="003D5A4C"/>
        </w:tc>
        <w:tc>
          <w:tcPr>
            <w:tcW w:w="1210" w:type="dxa"/>
            <w:tcBorders>
              <w:bottom w:val="single" w:sz="4" w:space="0" w:color="auto"/>
            </w:tcBorders>
            <w:shd w:val="thinReverseDiagStripe" w:color="auto" w:fill="auto"/>
          </w:tcPr>
          <w:p w:rsidR="001359B5" w:rsidRDefault="001359B5"/>
        </w:tc>
      </w:tr>
      <w:tr w:rsidR="00C00C86" w:rsidTr="00DA34FF">
        <w:tc>
          <w:tcPr>
            <w:tcW w:w="4032" w:type="dxa"/>
          </w:tcPr>
          <w:p w:rsidR="001359B5" w:rsidRDefault="001359B5">
            <w:r>
              <w:t>Standard 4</w:t>
            </w:r>
            <w:r w:rsidR="00027C7E">
              <w:t>: Measurement</w:t>
            </w:r>
          </w:p>
        </w:tc>
        <w:tc>
          <w:tcPr>
            <w:tcW w:w="1296" w:type="dxa"/>
            <w:shd w:val="thinReverseDiagStripe" w:color="auto" w:fill="auto"/>
          </w:tcPr>
          <w:p w:rsidR="001359B5" w:rsidRDefault="001359B5" w:rsidP="003D5A4C"/>
        </w:tc>
        <w:tc>
          <w:tcPr>
            <w:tcW w:w="1124" w:type="dxa"/>
            <w:shd w:val="thinReverseDiagStripe" w:color="auto" w:fill="auto"/>
          </w:tcPr>
          <w:p w:rsidR="001359B5" w:rsidRDefault="001359B5" w:rsidP="003D5A4C"/>
        </w:tc>
        <w:tc>
          <w:tcPr>
            <w:tcW w:w="1210" w:type="dxa"/>
            <w:shd w:val="thinReverseDiagStripe" w:color="auto" w:fill="auto"/>
          </w:tcPr>
          <w:p w:rsidR="001359B5" w:rsidRDefault="001359B5" w:rsidP="003D5A4C"/>
        </w:tc>
        <w:tc>
          <w:tcPr>
            <w:tcW w:w="1210" w:type="dxa"/>
            <w:shd w:val="thinReverseDiagStripe" w:color="auto" w:fill="auto"/>
          </w:tcPr>
          <w:p w:rsidR="001359B5" w:rsidRDefault="001359B5" w:rsidP="003D5A4C"/>
        </w:tc>
        <w:tc>
          <w:tcPr>
            <w:tcW w:w="1210" w:type="dxa"/>
            <w:shd w:val="thinReverseDiagStripe" w:color="auto" w:fill="auto"/>
          </w:tcPr>
          <w:p w:rsidR="001359B5" w:rsidRDefault="001359B5" w:rsidP="003D5A4C"/>
        </w:tc>
        <w:tc>
          <w:tcPr>
            <w:tcW w:w="1210" w:type="dxa"/>
            <w:tcBorders>
              <w:bottom w:val="single" w:sz="4" w:space="0" w:color="auto"/>
            </w:tcBorders>
            <w:shd w:val="pct70" w:color="auto" w:fill="auto"/>
          </w:tcPr>
          <w:p w:rsidR="001359B5" w:rsidRDefault="001359B5" w:rsidP="003D5A4C"/>
        </w:tc>
        <w:tc>
          <w:tcPr>
            <w:tcW w:w="1210" w:type="dxa"/>
            <w:tcBorders>
              <w:bottom w:val="single" w:sz="4" w:space="0" w:color="auto"/>
            </w:tcBorders>
            <w:shd w:val="pct70" w:color="auto" w:fill="auto"/>
          </w:tcPr>
          <w:p w:rsidR="001359B5" w:rsidRDefault="001359B5" w:rsidP="003D5A4C"/>
        </w:tc>
        <w:tc>
          <w:tcPr>
            <w:tcW w:w="1210" w:type="dxa"/>
            <w:tcBorders>
              <w:bottom w:val="single" w:sz="4" w:space="0" w:color="auto"/>
            </w:tcBorders>
            <w:shd w:val="pct70" w:color="auto" w:fill="auto"/>
          </w:tcPr>
          <w:p w:rsidR="001359B5" w:rsidRDefault="001359B5" w:rsidP="003D5A4C"/>
        </w:tc>
        <w:tc>
          <w:tcPr>
            <w:tcW w:w="1210" w:type="dxa"/>
            <w:tcBorders>
              <w:bottom w:val="single" w:sz="4" w:space="0" w:color="auto"/>
            </w:tcBorders>
            <w:shd w:val="thinReverseDiagStripe" w:color="auto" w:fill="auto"/>
          </w:tcPr>
          <w:p w:rsidR="001359B5" w:rsidRDefault="001359B5"/>
        </w:tc>
      </w:tr>
      <w:tr w:rsidR="00C00C86" w:rsidTr="00DA34FF">
        <w:tc>
          <w:tcPr>
            <w:tcW w:w="4032" w:type="dxa"/>
            <w:tcBorders>
              <w:bottom w:val="single" w:sz="4" w:space="0" w:color="auto"/>
            </w:tcBorders>
          </w:tcPr>
          <w:p w:rsidR="001359B5" w:rsidRDefault="001359B5">
            <w:r>
              <w:t>Standard 5</w:t>
            </w:r>
            <w:r w:rsidR="00027C7E">
              <w:t>: Data Analysis</w:t>
            </w:r>
          </w:p>
        </w:tc>
        <w:tc>
          <w:tcPr>
            <w:tcW w:w="1296" w:type="dxa"/>
            <w:tcBorders>
              <w:bottom w:val="single" w:sz="4" w:space="0" w:color="auto"/>
            </w:tcBorders>
            <w:shd w:val="thinReverseDiagStripe" w:color="auto" w:fill="auto"/>
          </w:tcPr>
          <w:p w:rsidR="001359B5" w:rsidRDefault="001359B5" w:rsidP="003D5A4C"/>
        </w:tc>
        <w:tc>
          <w:tcPr>
            <w:tcW w:w="1124" w:type="dxa"/>
            <w:tcBorders>
              <w:bottom w:val="single" w:sz="4" w:space="0" w:color="auto"/>
            </w:tcBorders>
            <w:shd w:val="thinReverseDiagStripe" w:color="auto" w:fill="auto"/>
          </w:tcPr>
          <w:p w:rsidR="001359B5" w:rsidRDefault="001359B5" w:rsidP="003D5A4C"/>
        </w:tc>
        <w:tc>
          <w:tcPr>
            <w:tcW w:w="1210" w:type="dxa"/>
            <w:tcBorders>
              <w:bottom w:val="single" w:sz="4" w:space="0" w:color="auto"/>
            </w:tcBorders>
            <w:shd w:val="thinReverseDiagStripe" w:color="auto" w:fill="auto"/>
          </w:tcPr>
          <w:p w:rsidR="001359B5" w:rsidRDefault="001359B5" w:rsidP="003D5A4C"/>
        </w:tc>
        <w:tc>
          <w:tcPr>
            <w:tcW w:w="1210" w:type="dxa"/>
            <w:tcBorders>
              <w:bottom w:val="single" w:sz="4" w:space="0" w:color="auto"/>
            </w:tcBorders>
            <w:shd w:val="thinReverseDiagStripe" w:color="auto" w:fill="auto"/>
          </w:tcPr>
          <w:p w:rsidR="001359B5" w:rsidRDefault="001359B5" w:rsidP="003D5A4C"/>
        </w:tc>
        <w:tc>
          <w:tcPr>
            <w:tcW w:w="1210" w:type="dxa"/>
            <w:tcBorders>
              <w:bottom w:val="single" w:sz="4" w:space="0" w:color="auto"/>
            </w:tcBorders>
            <w:shd w:val="thinReverseDiagStripe" w:color="auto" w:fill="auto"/>
          </w:tcPr>
          <w:p w:rsidR="001359B5" w:rsidRDefault="001359B5" w:rsidP="003D5A4C"/>
        </w:tc>
        <w:tc>
          <w:tcPr>
            <w:tcW w:w="1210" w:type="dxa"/>
            <w:tcBorders>
              <w:bottom w:val="single" w:sz="4" w:space="0" w:color="auto"/>
            </w:tcBorders>
            <w:shd w:val="thinReverseDiagStripe" w:color="auto" w:fill="auto"/>
          </w:tcPr>
          <w:p w:rsidR="001359B5" w:rsidRDefault="001359B5" w:rsidP="003D5A4C"/>
        </w:tc>
        <w:tc>
          <w:tcPr>
            <w:tcW w:w="1210" w:type="dxa"/>
            <w:tcBorders>
              <w:bottom w:val="single" w:sz="4" w:space="0" w:color="auto"/>
            </w:tcBorders>
            <w:shd w:val="thinReverseDiagStripe" w:color="auto" w:fill="auto"/>
          </w:tcPr>
          <w:p w:rsidR="001359B5" w:rsidRDefault="001359B5" w:rsidP="003D5A4C"/>
        </w:tc>
        <w:tc>
          <w:tcPr>
            <w:tcW w:w="1210" w:type="dxa"/>
            <w:tcBorders>
              <w:bottom w:val="single" w:sz="4" w:space="0" w:color="auto"/>
            </w:tcBorders>
            <w:shd w:val="thinReverseDiagStripe" w:color="auto" w:fill="auto"/>
          </w:tcPr>
          <w:p w:rsidR="001359B5" w:rsidRDefault="001359B5" w:rsidP="003D5A4C"/>
        </w:tc>
        <w:tc>
          <w:tcPr>
            <w:tcW w:w="1210" w:type="dxa"/>
            <w:tcBorders>
              <w:bottom w:val="single" w:sz="4" w:space="0" w:color="auto"/>
            </w:tcBorders>
            <w:shd w:val="thinReverseDiagStripe" w:color="auto" w:fill="auto"/>
          </w:tcPr>
          <w:p w:rsidR="001359B5" w:rsidRDefault="001359B5"/>
        </w:tc>
      </w:tr>
      <w:tr w:rsidR="00027C7E" w:rsidTr="00DA34FF">
        <w:tc>
          <w:tcPr>
            <w:tcW w:w="4032" w:type="dxa"/>
            <w:shd w:val="clear" w:color="auto" w:fill="CCC0D9" w:themeFill="accent4" w:themeFillTint="66"/>
          </w:tcPr>
          <w:p w:rsidR="00027C7E" w:rsidRPr="001359B5" w:rsidRDefault="00027C7E" w:rsidP="003D5A4C">
            <w:pPr>
              <w:rPr>
                <w:b/>
              </w:rPr>
            </w:pPr>
            <w:r>
              <w:rPr>
                <w:b/>
              </w:rPr>
              <w:t>1</w:t>
            </w:r>
            <w:r w:rsidRPr="00027C7E">
              <w:rPr>
                <w:b/>
                <w:vertAlign w:val="superscript"/>
              </w:rPr>
              <w:t>st</w:t>
            </w:r>
            <w:r>
              <w:rPr>
                <w:b/>
              </w:rPr>
              <w:t xml:space="preserve"> </w:t>
            </w:r>
            <w:r w:rsidRPr="001359B5">
              <w:rPr>
                <w:b/>
              </w:rPr>
              <w:t>Grade</w:t>
            </w:r>
          </w:p>
        </w:tc>
        <w:tc>
          <w:tcPr>
            <w:tcW w:w="1296" w:type="dxa"/>
            <w:shd w:val="clear" w:color="auto" w:fill="CCC0D9" w:themeFill="accent4" w:themeFillTint="66"/>
          </w:tcPr>
          <w:p w:rsidR="00027C7E" w:rsidRDefault="00027C7E" w:rsidP="003D5A4C"/>
        </w:tc>
        <w:tc>
          <w:tcPr>
            <w:tcW w:w="1124" w:type="dxa"/>
            <w:shd w:val="clear" w:color="auto" w:fill="CCC0D9" w:themeFill="accent4" w:themeFillTint="66"/>
          </w:tcPr>
          <w:p w:rsidR="00027C7E" w:rsidRDefault="00027C7E" w:rsidP="003D5A4C"/>
        </w:tc>
        <w:tc>
          <w:tcPr>
            <w:tcW w:w="1210" w:type="dxa"/>
            <w:tcBorders>
              <w:bottom w:val="single" w:sz="4" w:space="0" w:color="auto"/>
            </w:tcBorders>
            <w:shd w:val="clear" w:color="auto" w:fill="CCC0D9" w:themeFill="accent4" w:themeFillTint="66"/>
          </w:tcPr>
          <w:p w:rsidR="00027C7E" w:rsidRDefault="00027C7E" w:rsidP="003D5A4C"/>
        </w:tc>
        <w:tc>
          <w:tcPr>
            <w:tcW w:w="1210" w:type="dxa"/>
            <w:tcBorders>
              <w:bottom w:val="single" w:sz="4" w:space="0" w:color="auto"/>
            </w:tcBorders>
            <w:shd w:val="clear" w:color="auto" w:fill="CCC0D9" w:themeFill="accent4" w:themeFillTint="66"/>
          </w:tcPr>
          <w:p w:rsidR="00027C7E" w:rsidRDefault="00027C7E" w:rsidP="003D5A4C"/>
        </w:tc>
        <w:tc>
          <w:tcPr>
            <w:tcW w:w="1210" w:type="dxa"/>
            <w:tcBorders>
              <w:bottom w:val="single" w:sz="4" w:space="0" w:color="auto"/>
            </w:tcBorders>
            <w:shd w:val="clear" w:color="auto" w:fill="CCC0D9" w:themeFill="accent4" w:themeFillTint="66"/>
          </w:tcPr>
          <w:p w:rsidR="00027C7E" w:rsidRDefault="00027C7E" w:rsidP="003D5A4C"/>
        </w:tc>
        <w:tc>
          <w:tcPr>
            <w:tcW w:w="1210" w:type="dxa"/>
            <w:tcBorders>
              <w:bottom w:val="single" w:sz="4" w:space="0" w:color="auto"/>
            </w:tcBorders>
            <w:shd w:val="clear" w:color="auto" w:fill="CCC0D9" w:themeFill="accent4" w:themeFillTint="66"/>
          </w:tcPr>
          <w:p w:rsidR="00027C7E" w:rsidRDefault="00027C7E" w:rsidP="003D5A4C"/>
        </w:tc>
        <w:tc>
          <w:tcPr>
            <w:tcW w:w="1210" w:type="dxa"/>
            <w:tcBorders>
              <w:bottom w:val="single" w:sz="4" w:space="0" w:color="auto"/>
            </w:tcBorders>
            <w:shd w:val="clear" w:color="auto" w:fill="CCC0D9" w:themeFill="accent4" w:themeFillTint="66"/>
          </w:tcPr>
          <w:p w:rsidR="00027C7E" w:rsidRDefault="00027C7E" w:rsidP="003D5A4C"/>
        </w:tc>
        <w:tc>
          <w:tcPr>
            <w:tcW w:w="1210" w:type="dxa"/>
            <w:tcBorders>
              <w:bottom w:val="single" w:sz="4" w:space="0" w:color="auto"/>
            </w:tcBorders>
            <w:shd w:val="clear" w:color="auto" w:fill="CCC0D9" w:themeFill="accent4" w:themeFillTint="66"/>
          </w:tcPr>
          <w:p w:rsidR="00027C7E" w:rsidRDefault="00027C7E" w:rsidP="003D5A4C"/>
        </w:tc>
        <w:tc>
          <w:tcPr>
            <w:tcW w:w="1210" w:type="dxa"/>
            <w:tcBorders>
              <w:bottom w:val="single" w:sz="4" w:space="0" w:color="auto"/>
            </w:tcBorders>
            <w:shd w:val="clear" w:color="auto" w:fill="CCC0D9" w:themeFill="accent4" w:themeFillTint="66"/>
          </w:tcPr>
          <w:p w:rsidR="00027C7E" w:rsidRDefault="00027C7E"/>
        </w:tc>
      </w:tr>
      <w:tr w:rsidR="00027C7E" w:rsidTr="00DA34FF">
        <w:tc>
          <w:tcPr>
            <w:tcW w:w="4032" w:type="dxa"/>
          </w:tcPr>
          <w:p w:rsidR="00027C7E" w:rsidRDefault="00027C7E" w:rsidP="003D5A4C">
            <w:r>
              <w:t>Standard 1: Algebraic Reasoning</w:t>
            </w:r>
          </w:p>
        </w:tc>
        <w:tc>
          <w:tcPr>
            <w:tcW w:w="1296" w:type="dxa"/>
            <w:tcBorders>
              <w:bottom w:val="single" w:sz="4" w:space="0" w:color="auto"/>
            </w:tcBorders>
          </w:tcPr>
          <w:p w:rsidR="00027C7E" w:rsidRDefault="00027C7E" w:rsidP="003D5A4C"/>
        </w:tc>
        <w:tc>
          <w:tcPr>
            <w:tcW w:w="1124" w:type="dxa"/>
            <w:tcBorders>
              <w:bottom w:val="single" w:sz="4" w:space="0" w:color="auto"/>
            </w:tcBorders>
          </w:tcPr>
          <w:p w:rsidR="00027C7E" w:rsidRDefault="00027C7E" w:rsidP="003D5A4C"/>
        </w:tc>
        <w:tc>
          <w:tcPr>
            <w:tcW w:w="1210" w:type="dxa"/>
            <w:tcBorders>
              <w:bottom w:val="single" w:sz="4" w:space="0" w:color="auto"/>
            </w:tcBorders>
            <w:shd w:val="pct70" w:color="auto" w:fill="auto"/>
          </w:tcPr>
          <w:p w:rsidR="00027C7E" w:rsidRDefault="00027C7E" w:rsidP="003D5A4C"/>
        </w:tc>
        <w:tc>
          <w:tcPr>
            <w:tcW w:w="1210" w:type="dxa"/>
            <w:tcBorders>
              <w:bottom w:val="single" w:sz="4" w:space="0" w:color="auto"/>
            </w:tcBorders>
            <w:shd w:val="pct70" w:color="auto" w:fill="auto"/>
          </w:tcPr>
          <w:p w:rsidR="00027C7E" w:rsidRDefault="00027C7E" w:rsidP="003D5A4C"/>
        </w:tc>
        <w:tc>
          <w:tcPr>
            <w:tcW w:w="1210" w:type="dxa"/>
            <w:tcBorders>
              <w:bottom w:val="single" w:sz="4" w:space="0" w:color="auto"/>
            </w:tcBorders>
            <w:shd w:val="pct70"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tc>
      </w:tr>
      <w:tr w:rsidR="00027C7E" w:rsidTr="00DA34FF">
        <w:tc>
          <w:tcPr>
            <w:tcW w:w="4032" w:type="dxa"/>
          </w:tcPr>
          <w:p w:rsidR="00027C7E" w:rsidRDefault="00027C7E" w:rsidP="003D5A4C">
            <w:r>
              <w:t>Standard 2: Number Sense and Operations</w:t>
            </w:r>
          </w:p>
        </w:tc>
        <w:tc>
          <w:tcPr>
            <w:tcW w:w="1296" w:type="dxa"/>
            <w:tcBorders>
              <w:bottom w:val="single" w:sz="4" w:space="0" w:color="auto"/>
            </w:tcBorders>
            <w:shd w:val="pct70" w:color="auto" w:fill="auto"/>
          </w:tcPr>
          <w:p w:rsidR="00027C7E" w:rsidRDefault="00027C7E" w:rsidP="003D5A4C"/>
        </w:tc>
        <w:tc>
          <w:tcPr>
            <w:tcW w:w="1124" w:type="dxa"/>
            <w:tcBorders>
              <w:bottom w:val="single" w:sz="4" w:space="0" w:color="auto"/>
            </w:tcBorders>
            <w:shd w:val="pct70" w:color="auto" w:fill="auto"/>
          </w:tcPr>
          <w:p w:rsidR="00027C7E" w:rsidRDefault="00027C7E" w:rsidP="003D5A4C"/>
        </w:tc>
        <w:tc>
          <w:tcPr>
            <w:tcW w:w="1210" w:type="dxa"/>
            <w:tcBorders>
              <w:bottom w:val="single" w:sz="4" w:space="0" w:color="auto"/>
            </w:tcBorders>
            <w:shd w:val="pct70" w:color="auto" w:fill="auto"/>
          </w:tcPr>
          <w:p w:rsidR="00027C7E" w:rsidRDefault="00027C7E" w:rsidP="003D5A4C"/>
        </w:tc>
        <w:tc>
          <w:tcPr>
            <w:tcW w:w="1210" w:type="dxa"/>
            <w:tcBorders>
              <w:bottom w:val="single" w:sz="4" w:space="0" w:color="auto"/>
            </w:tcBorders>
            <w:shd w:val="pct70" w:color="auto" w:fill="auto"/>
          </w:tcPr>
          <w:p w:rsidR="00027C7E" w:rsidRDefault="00027C7E" w:rsidP="003D5A4C"/>
        </w:tc>
        <w:tc>
          <w:tcPr>
            <w:tcW w:w="1210" w:type="dxa"/>
            <w:tcBorders>
              <w:bottom w:val="single" w:sz="4" w:space="0" w:color="auto"/>
            </w:tcBorders>
            <w:shd w:val="pct70" w:color="auto" w:fill="auto"/>
          </w:tcPr>
          <w:p w:rsidR="00027C7E" w:rsidRDefault="00027C7E" w:rsidP="003D5A4C"/>
        </w:tc>
        <w:tc>
          <w:tcPr>
            <w:tcW w:w="1210" w:type="dxa"/>
            <w:tcBorders>
              <w:bottom w:val="single" w:sz="4" w:space="0" w:color="auto"/>
            </w:tcBorders>
            <w:shd w:val="pct70"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tc>
      </w:tr>
      <w:tr w:rsidR="00027C7E" w:rsidTr="00DA34FF">
        <w:tc>
          <w:tcPr>
            <w:tcW w:w="4032" w:type="dxa"/>
          </w:tcPr>
          <w:p w:rsidR="00027C7E" w:rsidRDefault="00027C7E" w:rsidP="003D5A4C">
            <w:r>
              <w:t>Standard 3: Geometry</w:t>
            </w:r>
          </w:p>
        </w:tc>
        <w:tc>
          <w:tcPr>
            <w:tcW w:w="1296" w:type="dxa"/>
            <w:shd w:val="thinReverseDiagStripe" w:color="auto" w:fill="auto"/>
          </w:tcPr>
          <w:p w:rsidR="00027C7E" w:rsidRDefault="00027C7E" w:rsidP="003D5A4C"/>
        </w:tc>
        <w:tc>
          <w:tcPr>
            <w:tcW w:w="1124" w:type="dxa"/>
            <w:shd w:val="thinReverseDiagStripe" w:color="auto" w:fill="auto"/>
          </w:tcPr>
          <w:p w:rsidR="00027C7E" w:rsidRDefault="00027C7E" w:rsidP="003D5A4C"/>
        </w:tc>
        <w:tc>
          <w:tcPr>
            <w:tcW w:w="1210" w:type="dxa"/>
            <w:shd w:val="thinReverseDiagStripe" w:color="auto" w:fill="auto"/>
          </w:tcPr>
          <w:p w:rsidR="00027C7E" w:rsidRDefault="00027C7E" w:rsidP="003D5A4C"/>
        </w:tc>
        <w:tc>
          <w:tcPr>
            <w:tcW w:w="1210" w:type="dxa"/>
            <w:shd w:val="thinReverseDiagStripe" w:color="auto" w:fill="auto"/>
          </w:tcPr>
          <w:p w:rsidR="00027C7E" w:rsidRDefault="00027C7E" w:rsidP="003D5A4C"/>
        </w:tc>
        <w:tc>
          <w:tcPr>
            <w:tcW w:w="1210" w:type="dxa"/>
            <w:shd w:val="thinReverseDiagStripe" w:color="auto" w:fill="auto"/>
          </w:tcPr>
          <w:p w:rsidR="00027C7E" w:rsidRDefault="00027C7E" w:rsidP="003D5A4C"/>
        </w:tc>
        <w:tc>
          <w:tcPr>
            <w:tcW w:w="1210" w:type="dxa"/>
            <w:tcBorders>
              <w:bottom w:val="single" w:sz="4" w:space="0" w:color="auto"/>
            </w:tcBorders>
            <w:shd w:val="pct70" w:color="auto" w:fill="auto"/>
          </w:tcPr>
          <w:p w:rsidR="00027C7E" w:rsidRDefault="00027C7E" w:rsidP="003D5A4C"/>
        </w:tc>
        <w:tc>
          <w:tcPr>
            <w:tcW w:w="1210" w:type="dxa"/>
            <w:tcBorders>
              <w:bottom w:val="single" w:sz="4" w:space="0" w:color="auto"/>
            </w:tcBorders>
            <w:shd w:val="pct70"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tc>
      </w:tr>
      <w:tr w:rsidR="00027C7E" w:rsidTr="00DA34FF">
        <w:tc>
          <w:tcPr>
            <w:tcW w:w="4032" w:type="dxa"/>
          </w:tcPr>
          <w:p w:rsidR="00027C7E" w:rsidRDefault="00027C7E" w:rsidP="003D5A4C">
            <w:r>
              <w:t>Standard 4: Measurement</w:t>
            </w:r>
          </w:p>
        </w:tc>
        <w:tc>
          <w:tcPr>
            <w:tcW w:w="1296" w:type="dxa"/>
            <w:shd w:val="thinReverseDiagStripe" w:color="auto" w:fill="auto"/>
          </w:tcPr>
          <w:p w:rsidR="00027C7E" w:rsidRDefault="00027C7E" w:rsidP="003D5A4C"/>
        </w:tc>
        <w:tc>
          <w:tcPr>
            <w:tcW w:w="1124" w:type="dxa"/>
            <w:shd w:val="thinReverseDiagStripe" w:color="auto" w:fill="auto"/>
          </w:tcPr>
          <w:p w:rsidR="00027C7E" w:rsidRDefault="00027C7E" w:rsidP="003D5A4C"/>
        </w:tc>
        <w:tc>
          <w:tcPr>
            <w:tcW w:w="1210" w:type="dxa"/>
            <w:shd w:val="thinReverseDiagStripe" w:color="auto" w:fill="auto"/>
          </w:tcPr>
          <w:p w:rsidR="00027C7E" w:rsidRDefault="00027C7E" w:rsidP="003D5A4C"/>
        </w:tc>
        <w:tc>
          <w:tcPr>
            <w:tcW w:w="1210" w:type="dxa"/>
            <w:shd w:val="thinReverseDiagStripe" w:color="auto" w:fill="auto"/>
          </w:tcPr>
          <w:p w:rsidR="00027C7E" w:rsidRDefault="00027C7E" w:rsidP="003D5A4C"/>
        </w:tc>
        <w:tc>
          <w:tcPr>
            <w:tcW w:w="1210" w:type="dxa"/>
            <w:shd w:val="thinReverseDiagStripe" w:color="auto" w:fill="auto"/>
          </w:tcPr>
          <w:p w:rsidR="00027C7E" w:rsidRDefault="00027C7E" w:rsidP="003D5A4C"/>
        </w:tc>
        <w:tc>
          <w:tcPr>
            <w:tcW w:w="1210" w:type="dxa"/>
            <w:shd w:val="thinReverseDiagStripe" w:color="auto" w:fill="auto"/>
          </w:tcPr>
          <w:p w:rsidR="00027C7E" w:rsidRDefault="00027C7E" w:rsidP="003D5A4C"/>
        </w:tc>
        <w:tc>
          <w:tcPr>
            <w:tcW w:w="1210" w:type="dxa"/>
            <w:tcBorders>
              <w:bottom w:val="single" w:sz="4" w:space="0" w:color="auto"/>
            </w:tcBorders>
            <w:shd w:val="pct70" w:color="auto" w:fill="auto"/>
          </w:tcPr>
          <w:p w:rsidR="00027C7E" w:rsidRDefault="00027C7E" w:rsidP="003D5A4C"/>
        </w:tc>
        <w:tc>
          <w:tcPr>
            <w:tcW w:w="1210" w:type="dxa"/>
            <w:tcBorders>
              <w:bottom w:val="single" w:sz="4" w:space="0" w:color="auto"/>
            </w:tcBorders>
            <w:shd w:val="pct70"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tc>
      </w:tr>
      <w:tr w:rsidR="00027C7E" w:rsidTr="00DA34FF">
        <w:tc>
          <w:tcPr>
            <w:tcW w:w="4032" w:type="dxa"/>
            <w:tcBorders>
              <w:bottom w:val="single" w:sz="4" w:space="0" w:color="auto"/>
            </w:tcBorders>
          </w:tcPr>
          <w:p w:rsidR="00027C7E" w:rsidRDefault="00027C7E" w:rsidP="003D5A4C">
            <w:r>
              <w:t>Standard 5: Data Analysis</w:t>
            </w:r>
          </w:p>
        </w:tc>
        <w:tc>
          <w:tcPr>
            <w:tcW w:w="1296" w:type="dxa"/>
            <w:tcBorders>
              <w:bottom w:val="single" w:sz="4" w:space="0" w:color="auto"/>
            </w:tcBorders>
            <w:shd w:val="thinReverseDiagStripe" w:color="auto" w:fill="auto"/>
          </w:tcPr>
          <w:p w:rsidR="00027C7E" w:rsidRDefault="00027C7E" w:rsidP="003D5A4C"/>
        </w:tc>
        <w:tc>
          <w:tcPr>
            <w:tcW w:w="1124" w:type="dxa"/>
            <w:tcBorders>
              <w:bottom w:val="single" w:sz="4" w:space="0" w:color="auto"/>
            </w:tcBorders>
            <w:shd w:val="thinReverseDiagStripe"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rsidP="003D5A4C"/>
        </w:tc>
        <w:tc>
          <w:tcPr>
            <w:tcW w:w="1210" w:type="dxa"/>
            <w:tcBorders>
              <w:bottom w:val="single" w:sz="4" w:space="0" w:color="auto"/>
            </w:tcBorders>
            <w:shd w:val="pct70" w:color="auto" w:fill="auto"/>
          </w:tcPr>
          <w:p w:rsidR="00027C7E" w:rsidRDefault="00027C7E" w:rsidP="003D5A4C"/>
        </w:tc>
        <w:tc>
          <w:tcPr>
            <w:tcW w:w="1210" w:type="dxa"/>
            <w:tcBorders>
              <w:bottom w:val="single" w:sz="4" w:space="0" w:color="auto"/>
            </w:tcBorders>
            <w:shd w:val="pct70" w:color="auto" w:fill="auto"/>
          </w:tcPr>
          <w:p w:rsidR="00027C7E" w:rsidRDefault="00027C7E"/>
        </w:tc>
      </w:tr>
      <w:tr w:rsidR="00027C7E" w:rsidTr="00335F07">
        <w:tc>
          <w:tcPr>
            <w:tcW w:w="4032" w:type="dxa"/>
            <w:shd w:val="clear" w:color="auto" w:fill="CCC0D9" w:themeFill="accent4" w:themeFillTint="66"/>
          </w:tcPr>
          <w:p w:rsidR="00027C7E" w:rsidRPr="001359B5" w:rsidRDefault="00027C7E" w:rsidP="003D5A4C">
            <w:pPr>
              <w:rPr>
                <w:b/>
              </w:rPr>
            </w:pPr>
            <w:r>
              <w:rPr>
                <w:b/>
              </w:rPr>
              <w:t>2</w:t>
            </w:r>
            <w:r w:rsidRPr="00027C7E">
              <w:rPr>
                <w:b/>
                <w:vertAlign w:val="superscript"/>
              </w:rPr>
              <w:t>nd</w:t>
            </w:r>
            <w:r>
              <w:rPr>
                <w:b/>
              </w:rPr>
              <w:t xml:space="preserve"> </w:t>
            </w:r>
            <w:r w:rsidRPr="001359B5">
              <w:rPr>
                <w:b/>
              </w:rPr>
              <w:t>Grade</w:t>
            </w:r>
          </w:p>
        </w:tc>
        <w:tc>
          <w:tcPr>
            <w:tcW w:w="1296" w:type="dxa"/>
            <w:shd w:val="clear" w:color="auto" w:fill="CCC0D9" w:themeFill="accent4" w:themeFillTint="66"/>
          </w:tcPr>
          <w:p w:rsidR="00027C7E" w:rsidRDefault="00027C7E" w:rsidP="003D5A4C"/>
        </w:tc>
        <w:tc>
          <w:tcPr>
            <w:tcW w:w="1124" w:type="dxa"/>
            <w:shd w:val="clear" w:color="auto" w:fill="CCC0D9" w:themeFill="accent4" w:themeFillTint="66"/>
          </w:tcPr>
          <w:p w:rsidR="00027C7E" w:rsidRDefault="00027C7E" w:rsidP="003D5A4C"/>
        </w:tc>
        <w:tc>
          <w:tcPr>
            <w:tcW w:w="1210" w:type="dxa"/>
            <w:tcBorders>
              <w:bottom w:val="single" w:sz="4" w:space="0" w:color="auto"/>
            </w:tcBorders>
            <w:shd w:val="clear" w:color="auto" w:fill="CCC0D9" w:themeFill="accent4" w:themeFillTint="66"/>
          </w:tcPr>
          <w:p w:rsidR="00027C7E" w:rsidRDefault="00027C7E" w:rsidP="003D5A4C"/>
        </w:tc>
        <w:tc>
          <w:tcPr>
            <w:tcW w:w="1210" w:type="dxa"/>
            <w:tcBorders>
              <w:bottom w:val="single" w:sz="4" w:space="0" w:color="auto"/>
            </w:tcBorders>
            <w:shd w:val="clear" w:color="auto" w:fill="CCC0D9" w:themeFill="accent4" w:themeFillTint="66"/>
          </w:tcPr>
          <w:p w:rsidR="00027C7E" w:rsidRDefault="00027C7E" w:rsidP="003D5A4C"/>
        </w:tc>
        <w:tc>
          <w:tcPr>
            <w:tcW w:w="1210" w:type="dxa"/>
            <w:tcBorders>
              <w:bottom w:val="single" w:sz="4" w:space="0" w:color="auto"/>
            </w:tcBorders>
            <w:shd w:val="clear" w:color="auto" w:fill="CCC0D9" w:themeFill="accent4" w:themeFillTint="66"/>
          </w:tcPr>
          <w:p w:rsidR="00027C7E" w:rsidRDefault="00027C7E" w:rsidP="003D5A4C"/>
        </w:tc>
        <w:tc>
          <w:tcPr>
            <w:tcW w:w="1210" w:type="dxa"/>
            <w:tcBorders>
              <w:bottom w:val="single" w:sz="4" w:space="0" w:color="auto"/>
            </w:tcBorders>
            <w:shd w:val="clear" w:color="auto" w:fill="CCC0D9" w:themeFill="accent4" w:themeFillTint="66"/>
          </w:tcPr>
          <w:p w:rsidR="00027C7E" w:rsidRDefault="00027C7E" w:rsidP="003D5A4C"/>
        </w:tc>
        <w:tc>
          <w:tcPr>
            <w:tcW w:w="1210" w:type="dxa"/>
            <w:tcBorders>
              <w:bottom w:val="single" w:sz="4" w:space="0" w:color="auto"/>
            </w:tcBorders>
            <w:shd w:val="clear" w:color="auto" w:fill="CCC0D9" w:themeFill="accent4" w:themeFillTint="66"/>
          </w:tcPr>
          <w:p w:rsidR="00027C7E" w:rsidRDefault="00027C7E" w:rsidP="003D5A4C"/>
        </w:tc>
        <w:tc>
          <w:tcPr>
            <w:tcW w:w="1210" w:type="dxa"/>
            <w:tcBorders>
              <w:bottom w:val="single" w:sz="4" w:space="0" w:color="auto"/>
            </w:tcBorders>
            <w:shd w:val="clear" w:color="auto" w:fill="CCC0D9" w:themeFill="accent4" w:themeFillTint="66"/>
          </w:tcPr>
          <w:p w:rsidR="00027C7E" w:rsidRDefault="00027C7E" w:rsidP="003D5A4C"/>
        </w:tc>
        <w:tc>
          <w:tcPr>
            <w:tcW w:w="1210" w:type="dxa"/>
            <w:tcBorders>
              <w:bottom w:val="single" w:sz="4" w:space="0" w:color="auto"/>
            </w:tcBorders>
            <w:shd w:val="clear" w:color="auto" w:fill="CCC0D9" w:themeFill="accent4" w:themeFillTint="66"/>
          </w:tcPr>
          <w:p w:rsidR="00027C7E" w:rsidRDefault="00027C7E"/>
        </w:tc>
      </w:tr>
      <w:tr w:rsidR="00027C7E" w:rsidTr="00335F07">
        <w:tc>
          <w:tcPr>
            <w:tcW w:w="4032" w:type="dxa"/>
          </w:tcPr>
          <w:p w:rsidR="00027C7E" w:rsidRDefault="00027C7E" w:rsidP="003D5A4C">
            <w:r>
              <w:t>Standard 1: Algebraic Reasoning</w:t>
            </w:r>
          </w:p>
        </w:tc>
        <w:tc>
          <w:tcPr>
            <w:tcW w:w="1296" w:type="dxa"/>
            <w:tcBorders>
              <w:bottom w:val="single" w:sz="4" w:space="0" w:color="auto"/>
            </w:tcBorders>
          </w:tcPr>
          <w:p w:rsidR="00027C7E" w:rsidRDefault="00027C7E" w:rsidP="003D5A4C"/>
        </w:tc>
        <w:tc>
          <w:tcPr>
            <w:tcW w:w="1124" w:type="dxa"/>
            <w:tcBorders>
              <w:bottom w:val="single" w:sz="4" w:space="0" w:color="auto"/>
            </w:tcBorders>
          </w:tcPr>
          <w:p w:rsidR="00027C7E" w:rsidRDefault="00027C7E" w:rsidP="003D5A4C"/>
        </w:tc>
        <w:tc>
          <w:tcPr>
            <w:tcW w:w="1210" w:type="dxa"/>
            <w:tcBorders>
              <w:bottom w:val="single" w:sz="4" w:space="0" w:color="auto"/>
            </w:tcBorders>
            <w:shd w:val="pct70" w:color="auto" w:fill="auto"/>
          </w:tcPr>
          <w:p w:rsidR="00027C7E" w:rsidRDefault="00027C7E" w:rsidP="003D5A4C"/>
        </w:tc>
        <w:tc>
          <w:tcPr>
            <w:tcW w:w="1210" w:type="dxa"/>
            <w:tcBorders>
              <w:bottom w:val="single" w:sz="4" w:space="0" w:color="auto"/>
            </w:tcBorders>
            <w:shd w:val="pct70" w:color="auto" w:fill="auto"/>
          </w:tcPr>
          <w:p w:rsidR="00027C7E" w:rsidRDefault="00027C7E" w:rsidP="003D5A4C"/>
        </w:tc>
        <w:tc>
          <w:tcPr>
            <w:tcW w:w="1210" w:type="dxa"/>
            <w:tcBorders>
              <w:bottom w:val="single" w:sz="4" w:space="0" w:color="auto"/>
            </w:tcBorders>
            <w:shd w:val="pct70" w:color="auto" w:fill="auto"/>
          </w:tcPr>
          <w:p w:rsidR="00027C7E" w:rsidRDefault="00027C7E" w:rsidP="003D5A4C"/>
        </w:tc>
        <w:tc>
          <w:tcPr>
            <w:tcW w:w="1210" w:type="dxa"/>
            <w:tcBorders>
              <w:bottom w:val="single" w:sz="4" w:space="0" w:color="auto"/>
            </w:tcBorders>
            <w:shd w:val="pct70" w:color="auto" w:fill="auto"/>
          </w:tcPr>
          <w:p w:rsidR="00027C7E" w:rsidRDefault="00027C7E" w:rsidP="003D5A4C"/>
        </w:tc>
        <w:tc>
          <w:tcPr>
            <w:tcW w:w="1210" w:type="dxa"/>
            <w:tcBorders>
              <w:bottom w:val="single" w:sz="4" w:space="0" w:color="auto"/>
            </w:tcBorders>
            <w:shd w:val="pct70"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tc>
      </w:tr>
      <w:tr w:rsidR="00027C7E" w:rsidTr="00DA34FF">
        <w:tc>
          <w:tcPr>
            <w:tcW w:w="4032" w:type="dxa"/>
          </w:tcPr>
          <w:p w:rsidR="00027C7E" w:rsidRDefault="00027C7E" w:rsidP="003D5A4C">
            <w:r>
              <w:t>Standard 2: Number Sense and Operations</w:t>
            </w:r>
          </w:p>
        </w:tc>
        <w:tc>
          <w:tcPr>
            <w:tcW w:w="1296" w:type="dxa"/>
            <w:tcBorders>
              <w:bottom w:val="single" w:sz="4" w:space="0" w:color="auto"/>
            </w:tcBorders>
            <w:shd w:val="pct70" w:color="auto" w:fill="auto"/>
          </w:tcPr>
          <w:p w:rsidR="00027C7E" w:rsidRDefault="00027C7E" w:rsidP="003D5A4C"/>
        </w:tc>
        <w:tc>
          <w:tcPr>
            <w:tcW w:w="1124" w:type="dxa"/>
            <w:tcBorders>
              <w:bottom w:val="single" w:sz="4" w:space="0" w:color="auto"/>
            </w:tcBorders>
            <w:shd w:val="pct70" w:color="auto" w:fill="auto"/>
          </w:tcPr>
          <w:p w:rsidR="00027C7E" w:rsidRDefault="00027C7E" w:rsidP="003D5A4C"/>
        </w:tc>
        <w:tc>
          <w:tcPr>
            <w:tcW w:w="1210" w:type="dxa"/>
            <w:tcBorders>
              <w:bottom w:val="single" w:sz="4" w:space="0" w:color="auto"/>
            </w:tcBorders>
            <w:shd w:val="pct70" w:color="auto" w:fill="auto"/>
          </w:tcPr>
          <w:p w:rsidR="00027C7E" w:rsidRDefault="00027C7E" w:rsidP="003D5A4C"/>
        </w:tc>
        <w:tc>
          <w:tcPr>
            <w:tcW w:w="1210" w:type="dxa"/>
            <w:tcBorders>
              <w:bottom w:val="single" w:sz="4" w:space="0" w:color="auto"/>
            </w:tcBorders>
            <w:shd w:val="pct70" w:color="auto" w:fill="auto"/>
          </w:tcPr>
          <w:p w:rsidR="00027C7E" w:rsidRDefault="00027C7E" w:rsidP="003D5A4C"/>
        </w:tc>
        <w:tc>
          <w:tcPr>
            <w:tcW w:w="1210" w:type="dxa"/>
            <w:tcBorders>
              <w:bottom w:val="single" w:sz="4" w:space="0" w:color="auto"/>
            </w:tcBorders>
            <w:shd w:val="pct70" w:color="auto" w:fill="auto"/>
          </w:tcPr>
          <w:p w:rsidR="00027C7E" w:rsidRDefault="00027C7E" w:rsidP="003D5A4C"/>
        </w:tc>
        <w:tc>
          <w:tcPr>
            <w:tcW w:w="1210" w:type="dxa"/>
            <w:tcBorders>
              <w:bottom w:val="single" w:sz="4" w:space="0" w:color="auto"/>
            </w:tcBorders>
            <w:shd w:val="pct70" w:color="auto" w:fill="auto"/>
          </w:tcPr>
          <w:p w:rsidR="00027C7E" w:rsidRDefault="00027C7E" w:rsidP="003D5A4C"/>
        </w:tc>
        <w:tc>
          <w:tcPr>
            <w:tcW w:w="1210" w:type="dxa"/>
            <w:tcBorders>
              <w:bottom w:val="single" w:sz="4" w:space="0" w:color="auto"/>
            </w:tcBorders>
            <w:shd w:val="pct70" w:color="auto" w:fill="auto"/>
          </w:tcPr>
          <w:p w:rsidR="00027C7E" w:rsidRDefault="00027C7E" w:rsidP="003D5A4C"/>
        </w:tc>
        <w:tc>
          <w:tcPr>
            <w:tcW w:w="1210" w:type="dxa"/>
            <w:tcBorders>
              <w:bottom w:val="single" w:sz="4" w:space="0" w:color="auto"/>
            </w:tcBorders>
            <w:shd w:val="pct70" w:color="auto" w:fill="auto"/>
          </w:tcPr>
          <w:p w:rsidR="00027C7E" w:rsidRDefault="00027C7E" w:rsidP="003D5A4C"/>
        </w:tc>
        <w:tc>
          <w:tcPr>
            <w:tcW w:w="1210" w:type="dxa"/>
            <w:tcBorders>
              <w:bottom w:val="single" w:sz="4" w:space="0" w:color="auto"/>
            </w:tcBorders>
            <w:shd w:val="pct70" w:color="auto" w:fill="auto"/>
          </w:tcPr>
          <w:p w:rsidR="00027C7E" w:rsidRDefault="00027C7E"/>
        </w:tc>
      </w:tr>
      <w:tr w:rsidR="00027C7E" w:rsidTr="00335F07">
        <w:tc>
          <w:tcPr>
            <w:tcW w:w="4032" w:type="dxa"/>
          </w:tcPr>
          <w:p w:rsidR="00027C7E" w:rsidRDefault="00027C7E" w:rsidP="003D5A4C">
            <w:r>
              <w:t>Standard 3: Geometry</w:t>
            </w:r>
          </w:p>
        </w:tc>
        <w:tc>
          <w:tcPr>
            <w:tcW w:w="1296" w:type="dxa"/>
            <w:tcBorders>
              <w:bottom w:val="single" w:sz="4" w:space="0" w:color="auto"/>
            </w:tcBorders>
            <w:shd w:val="pct70" w:color="auto" w:fill="auto"/>
          </w:tcPr>
          <w:p w:rsidR="00027C7E" w:rsidRDefault="00027C7E" w:rsidP="003D5A4C"/>
        </w:tc>
        <w:tc>
          <w:tcPr>
            <w:tcW w:w="1124" w:type="dxa"/>
            <w:tcBorders>
              <w:bottom w:val="single" w:sz="4" w:space="0" w:color="auto"/>
            </w:tcBorders>
            <w:shd w:val="thinReverseDiagStripe"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tc>
      </w:tr>
      <w:tr w:rsidR="00027C7E" w:rsidTr="00335F07">
        <w:tc>
          <w:tcPr>
            <w:tcW w:w="4032" w:type="dxa"/>
          </w:tcPr>
          <w:p w:rsidR="00027C7E" w:rsidRDefault="00027C7E" w:rsidP="003D5A4C">
            <w:r>
              <w:t>Standard 4: Measurement</w:t>
            </w:r>
          </w:p>
        </w:tc>
        <w:tc>
          <w:tcPr>
            <w:tcW w:w="1296" w:type="dxa"/>
            <w:tcBorders>
              <w:bottom w:val="single" w:sz="4" w:space="0" w:color="auto"/>
            </w:tcBorders>
            <w:shd w:val="thinReverseDiagStripe" w:color="auto" w:fill="auto"/>
          </w:tcPr>
          <w:p w:rsidR="00027C7E" w:rsidRDefault="00027C7E" w:rsidP="003D5A4C"/>
        </w:tc>
        <w:tc>
          <w:tcPr>
            <w:tcW w:w="1124" w:type="dxa"/>
            <w:tcBorders>
              <w:bottom w:val="single" w:sz="4" w:space="0" w:color="auto"/>
            </w:tcBorders>
            <w:shd w:val="thinReverseDiagStripe"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rsidP="003D5A4C"/>
        </w:tc>
        <w:tc>
          <w:tcPr>
            <w:tcW w:w="1210" w:type="dxa"/>
            <w:tcBorders>
              <w:bottom w:val="single" w:sz="4" w:space="0" w:color="auto"/>
            </w:tcBorders>
            <w:shd w:val="thinReverseDiagStripe" w:color="auto" w:fill="auto"/>
          </w:tcPr>
          <w:p w:rsidR="00027C7E" w:rsidRDefault="00027C7E" w:rsidP="003D5A4C"/>
        </w:tc>
        <w:tc>
          <w:tcPr>
            <w:tcW w:w="1210" w:type="dxa"/>
            <w:tcBorders>
              <w:bottom w:val="single" w:sz="4" w:space="0" w:color="auto"/>
            </w:tcBorders>
            <w:shd w:val="pct70" w:color="auto" w:fill="auto"/>
          </w:tcPr>
          <w:p w:rsidR="00027C7E" w:rsidRDefault="00027C7E" w:rsidP="003D5A4C"/>
        </w:tc>
        <w:tc>
          <w:tcPr>
            <w:tcW w:w="1210" w:type="dxa"/>
            <w:tcBorders>
              <w:bottom w:val="single" w:sz="4" w:space="0" w:color="auto"/>
            </w:tcBorders>
            <w:shd w:val="pct70" w:color="auto" w:fill="auto"/>
          </w:tcPr>
          <w:p w:rsidR="00027C7E" w:rsidRDefault="00027C7E" w:rsidP="003D5A4C"/>
        </w:tc>
        <w:tc>
          <w:tcPr>
            <w:tcW w:w="1210" w:type="dxa"/>
            <w:tcBorders>
              <w:bottom w:val="single" w:sz="4" w:space="0" w:color="auto"/>
            </w:tcBorders>
            <w:shd w:val="pct70" w:color="auto" w:fill="auto"/>
          </w:tcPr>
          <w:p w:rsidR="00027C7E" w:rsidRDefault="00027C7E" w:rsidP="003D5A4C"/>
        </w:tc>
        <w:tc>
          <w:tcPr>
            <w:tcW w:w="1210" w:type="dxa"/>
            <w:tcBorders>
              <w:bottom w:val="single" w:sz="4" w:space="0" w:color="auto"/>
            </w:tcBorders>
            <w:shd w:val="pct70" w:color="auto" w:fill="auto"/>
          </w:tcPr>
          <w:p w:rsidR="00027C7E" w:rsidRDefault="00027C7E"/>
        </w:tc>
      </w:tr>
      <w:tr w:rsidR="00027C7E" w:rsidTr="00335F07">
        <w:tc>
          <w:tcPr>
            <w:tcW w:w="4032" w:type="dxa"/>
          </w:tcPr>
          <w:p w:rsidR="00027C7E" w:rsidRDefault="00027C7E" w:rsidP="003D5A4C">
            <w:r>
              <w:t>Standard 5: Data Analysis</w:t>
            </w:r>
          </w:p>
        </w:tc>
        <w:tc>
          <w:tcPr>
            <w:tcW w:w="1296" w:type="dxa"/>
            <w:shd w:val="thinReverseDiagStripe" w:color="auto" w:fill="auto"/>
          </w:tcPr>
          <w:p w:rsidR="00027C7E" w:rsidRDefault="00027C7E" w:rsidP="003D5A4C"/>
        </w:tc>
        <w:tc>
          <w:tcPr>
            <w:tcW w:w="1124" w:type="dxa"/>
            <w:shd w:val="thinReverseDiagStripe" w:color="auto" w:fill="auto"/>
          </w:tcPr>
          <w:p w:rsidR="00027C7E" w:rsidRDefault="00027C7E" w:rsidP="003D5A4C"/>
        </w:tc>
        <w:tc>
          <w:tcPr>
            <w:tcW w:w="1210" w:type="dxa"/>
            <w:shd w:val="thinReverseDiagStripe" w:color="auto" w:fill="auto"/>
          </w:tcPr>
          <w:p w:rsidR="00027C7E" w:rsidRDefault="00027C7E" w:rsidP="003D5A4C"/>
        </w:tc>
        <w:tc>
          <w:tcPr>
            <w:tcW w:w="1210" w:type="dxa"/>
            <w:shd w:val="thinReverseDiagStripe" w:color="auto" w:fill="auto"/>
          </w:tcPr>
          <w:p w:rsidR="00027C7E" w:rsidRDefault="00027C7E" w:rsidP="003D5A4C"/>
        </w:tc>
        <w:tc>
          <w:tcPr>
            <w:tcW w:w="1210" w:type="dxa"/>
            <w:shd w:val="thinReverseDiagStripe" w:color="auto" w:fill="auto"/>
          </w:tcPr>
          <w:p w:rsidR="00027C7E" w:rsidRDefault="00027C7E" w:rsidP="003D5A4C"/>
        </w:tc>
        <w:tc>
          <w:tcPr>
            <w:tcW w:w="1210" w:type="dxa"/>
            <w:shd w:val="thinReverseDiagStripe" w:color="auto" w:fill="auto"/>
          </w:tcPr>
          <w:p w:rsidR="00027C7E" w:rsidRDefault="00027C7E" w:rsidP="003D5A4C"/>
        </w:tc>
        <w:tc>
          <w:tcPr>
            <w:tcW w:w="1210" w:type="dxa"/>
            <w:shd w:val="thinReverseDiagStripe" w:color="auto" w:fill="auto"/>
          </w:tcPr>
          <w:p w:rsidR="00027C7E" w:rsidRDefault="00027C7E" w:rsidP="003D5A4C"/>
        </w:tc>
        <w:tc>
          <w:tcPr>
            <w:tcW w:w="1210" w:type="dxa"/>
            <w:shd w:val="thinReverseDiagStripe" w:color="auto" w:fill="auto"/>
          </w:tcPr>
          <w:p w:rsidR="00027C7E" w:rsidRDefault="00027C7E" w:rsidP="003D5A4C"/>
        </w:tc>
        <w:tc>
          <w:tcPr>
            <w:tcW w:w="1210" w:type="dxa"/>
            <w:shd w:val="thinReverseDiagStripe" w:color="auto" w:fill="auto"/>
          </w:tcPr>
          <w:p w:rsidR="00027C7E" w:rsidRDefault="00027C7E"/>
        </w:tc>
      </w:tr>
    </w:tbl>
    <w:p w:rsidR="00505E75" w:rsidRDefault="00505E75"/>
    <w:tbl>
      <w:tblPr>
        <w:tblStyle w:val="TableGrid"/>
        <w:tblW w:w="0" w:type="auto"/>
        <w:tblInd w:w="5688" w:type="dxa"/>
        <w:tblLook w:val="04A0" w:firstRow="1" w:lastRow="0" w:firstColumn="1" w:lastColumn="0" w:noHBand="0" w:noVBand="1"/>
      </w:tblPr>
      <w:tblGrid>
        <w:gridCol w:w="1728"/>
        <w:gridCol w:w="5382"/>
      </w:tblGrid>
      <w:tr w:rsidR="009579BF" w:rsidTr="009579BF">
        <w:tc>
          <w:tcPr>
            <w:tcW w:w="1728" w:type="dxa"/>
            <w:tcBorders>
              <w:bottom w:val="single" w:sz="4" w:space="0" w:color="auto"/>
            </w:tcBorders>
          </w:tcPr>
          <w:p w:rsidR="009579BF" w:rsidRDefault="009579BF"/>
          <w:p w:rsidR="009579BF" w:rsidRDefault="009579BF"/>
        </w:tc>
        <w:tc>
          <w:tcPr>
            <w:tcW w:w="5382" w:type="dxa"/>
            <w:vAlign w:val="center"/>
          </w:tcPr>
          <w:p w:rsidR="009579BF" w:rsidRDefault="009579BF">
            <w:r>
              <w:t>Do not teach at this time</w:t>
            </w:r>
          </w:p>
        </w:tc>
      </w:tr>
      <w:tr w:rsidR="009579BF" w:rsidTr="009579BF">
        <w:tc>
          <w:tcPr>
            <w:tcW w:w="1728" w:type="dxa"/>
            <w:tcBorders>
              <w:bottom w:val="single" w:sz="4" w:space="0" w:color="auto"/>
            </w:tcBorders>
            <w:shd w:val="pct70" w:color="auto" w:fill="auto"/>
          </w:tcPr>
          <w:p w:rsidR="009579BF" w:rsidRDefault="009579BF"/>
        </w:tc>
        <w:tc>
          <w:tcPr>
            <w:tcW w:w="5382" w:type="dxa"/>
          </w:tcPr>
          <w:p w:rsidR="009579BF" w:rsidRDefault="009579BF">
            <w:r>
              <w:t>Strands to be the focus of classroom instruction and assessment</w:t>
            </w:r>
          </w:p>
        </w:tc>
      </w:tr>
      <w:tr w:rsidR="009579BF" w:rsidTr="009579BF">
        <w:tc>
          <w:tcPr>
            <w:tcW w:w="1728" w:type="dxa"/>
            <w:shd w:val="thinReverseDiagStripe" w:color="auto" w:fill="auto"/>
          </w:tcPr>
          <w:p w:rsidR="009579BF" w:rsidRDefault="009579BF"/>
        </w:tc>
        <w:tc>
          <w:tcPr>
            <w:tcW w:w="5382" w:type="dxa"/>
          </w:tcPr>
          <w:p w:rsidR="009579BF" w:rsidRDefault="009579BF">
            <w:r>
              <w:t>Strands to be practiced and maintained through centers, small groups, calendar time, math meetings, etc.</w:t>
            </w:r>
          </w:p>
        </w:tc>
      </w:tr>
    </w:tbl>
    <w:p w:rsidR="009579BF" w:rsidRDefault="009579BF"/>
    <w:sectPr w:rsidR="009579BF" w:rsidSect="00027C7E">
      <w:pgSz w:w="15840" w:h="12240" w:orient="landscape"/>
      <w:pgMar w:top="720" w:right="720" w:bottom="720"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32"/>
    <w:rsid w:val="00027C7E"/>
    <w:rsid w:val="000F100C"/>
    <w:rsid w:val="001359B5"/>
    <w:rsid w:val="0013653E"/>
    <w:rsid w:val="001A2263"/>
    <w:rsid w:val="002B2D10"/>
    <w:rsid w:val="00335F07"/>
    <w:rsid w:val="00382EA7"/>
    <w:rsid w:val="00505E75"/>
    <w:rsid w:val="005F43A0"/>
    <w:rsid w:val="007810D4"/>
    <w:rsid w:val="00880392"/>
    <w:rsid w:val="008F1AA6"/>
    <w:rsid w:val="009579BF"/>
    <w:rsid w:val="00BD0037"/>
    <w:rsid w:val="00C00C86"/>
    <w:rsid w:val="00CE4632"/>
    <w:rsid w:val="00DA34FF"/>
    <w:rsid w:val="00E2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4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4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Oklahoma State Department of Education</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Jennifer Lamb</cp:lastModifiedBy>
  <cp:revision>2</cp:revision>
  <dcterms:created xsi:type="dcterms:W3CDTF">2014-06-16T15:41:00Z</dcterms:created>
  <dcterms:modified xsi:type="dcterms:W3CDTF">2014-06-16T15:41:00Z</dcterms:modified>
</cp:coreProperties>
</file>